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D7" w:rsidRDefault="00216648" w:rsidP="00E30DD7">
      <w:pPr>
        <w:spacing w:after="0" w:line="240" w:lineRule="auto"/>
      </w:pPr>
      <w:r>
        <w:rPr>
          <w:b/>
        </w:rPr>
        <w:t xml:space="preserve">Student </w:t>
      </w:r>
      <w:r w:rsidR="00E30DD7">
        <w:rPr>
          <w:b/>
        </w:rPr>
        <w:t>Name:</w:t>
      </w:r>
      <w:r w:rsidR="00E30DD7" w:rsidRPr="005636B2">
        <w:t xml:space="preserve"> ______________</w:t>
      </w:r>
      <w:r w:rsidR="00E31E19">
        <w:t>__________________________</w:t>
      </w:r>
      <w:r w:rsidR="00E30DD7" w:rsidRPr="005636B2">
        <w:t>______</w:t>
      </w:r>
      <w:r w:rsidR="00E30DD7">
        <w:rPr>
          <w:b/>
        </w:rPr>
        <w:tab/>
        <w:t>Date:</w:t>
      </w:r>
      <w:r w:rsidR="00E30DD7" w:rsidRPr="005636B2">
        <w:t xml:space="preserve"> ______________________</w:t>
      </w:r>
      <w:r>
        <w:t>_____</w:t>
      </w:r>
    </w:p>
    <w:p w:rsidR="00E31E19" w:rsidRDefault="00E31E19" w:rsidP="00E30DD7">
      <w:pPr>
        <w:spacing w:after="0" w:line="240" w:lineRule="auto"/>
      </w:pPr>
    </w:p>
    <w:p w:rsidR="00892295" w:rsidRDefault="00892295" w:rsidP="00E30DD7">
      <w:pPr>
        <w:spacing w:after="0" w:line="240" w:lineRule="auto"/>
        <w:rPr>
          <w:b/>
        </w:rPr>
      </w:pPr>
    </w:p>
    <w:tbl>
      <w:tblPr>
        <w:tblStyle w:val="TableGrid"/>
        <w:tblW w:w="0" w:type="auto"/>
        <w:tblLook w:val="04A0" w:firstRow="1" w:lastRow="0" w:firstColumn="1" w:lastColumn="0" w:noHBand="0" w:noVBand="1"/>
      </w:tblPr>
      <w:tblGrid>
        <w:gridCol w:w="8715"/>
        <w:gridCol w:w="1499"/>
      </w:tblGrid>
      <w:tr w:rsidR="00216648" w:rsidTr="00892295">
        <w:tc>
          <w:tcPr>
            <w:tcW w:w="8927" w:type="dxa"/>
            <w:shd w:val="clear" w:color="auto" w:fill="8DB3E2" w:themeFill="text2" w:themeFillTint="66"/>
          </w:tcPr>
          <w:p w:rsidR="00216648" w:rsidRDefault="0025666E" w:rsidP="0025666E">
            <w:pPr>
              <w:jc w:val="center"/>
              <w:rPr>
                <w:b/>
              </w:rPr>
            </w:pPr>
            <w:r>
              <w:rPr>
                <w:b/>
              </w:rPr>
              <w:t>Expected Behavior/Performance Criteria</w:t>
            </w:r>
          </w:p>
        </w:tc>
        <w:tc>
          <w:tcPr>
            <w:tcW w:w="1513" w:type="dxa"/>
            <w:shd w:val="clear" w:color="auto" w:fill="8DB3E2" w:themeFill="text2" w:themeFillTint="66"/>
          </w:tcPr>
          <w:p w:rsidR="00216648" w:rsidRDefault="003B1507" w:rsidP="0025666E">
            <w:pPr>
              <w:jc w:val="center"/>
              <w:rPr>
                <w:b/>
              </w:rPr>
            </w:pPr>
            <w:r>
              <w:rPr>
                <w:b/>
              </w:rPr>
              <w:t>Student</w:t>
            </w:r>
            <w:r w:rsidR="0025666E">
              <w:rPr>
                <w:b/>
              </w:rPr>
              <w:t>’s Initials</w:t>
            </w:r>
          </w:p>
        </w:tc>
      </w:tr>
      <w:tr w:rsidR="0025666E" w:rsidTr="00892295">
        <w:tc>
          <w:tcPr>
            <w:tcW w:w="10440" w:type="dxa"/>
            <w:gridSpan w:val="2"/>
            <w:shd w:val="clear" w:color="auto" w:fill="C6D9F1" w:themeFill="text2" w:themeFillTint="33"/>
          </w:tcPr>
          <w:p w:rsidR="0025666E" w:rsidRDefault="0025666E" w:rsidP="00E30DD7">
            <w:pPr>
              <w:rPr>
                <w:b/>
              </w:rPr>
            </w:pPr>
            <w:r>
              <w:rPr>
                <w:b/>
              </w:rPr>
              <w:t>Perioperative Behavior:</w:t>
            </w:r>
          </w:p>
        </w:tc>
      </w:tr>
      <w:tr w:rsidR="00216648" w:rsidTr="00892295">
        <w:tc>
          <w:tcPr>
            <w:tcW w:w="8927" w:type="dxa"/>
          </w:tcPr>
          <w:p w:rsidR="00216648" w:rsidRPr="0025666E" w:rsidRDefault="0025666E" w:rsidP="00E30DD7">
            <w:pPr>
              <w:rPr>
                <w:u w:val="single"/>
              </w:rPr>
            </w:pPr>
            <w:r w:rsidRPr="00DA6A1C">
              <w:rPr>
                <w:b/>
                <w:color w:val="FF0000"/>
              </w:rPr>
              <w:t>Surgical conscience</w:t>
            </w:r>
            <w:r>
              <w:t xml:space="preserve"> is the exhibition of ethical behavior, promotion of patient safety, and doing the right thing even when no external supervision is present.  This means that we are accountable for our own actions, and we do not hesitate to acknowledge </w:t>
            </w:r>
            <w:r w:rsidR="005802B2">
              <w:t xml:space="preserve">when we make an error, such as </w:t>
            </w:r>
            <w:r>
              <w:t xml:space="preserve">a break in sterile technique.  </w:t>
            </w:r>
            <w:r w:rsidRPr="0025666E">
              <w:rPr>
                <w:b/>
              </w:rPr>
              <w:t>This is all in an effort to prevent negative patient outcomes, such as a surgical site infection.</w:t>
            </w:r>
          </w:p>
        </w:tc>
        <w:tc>
          <w:tcPr>
            <w:tcW w:w="1513" w:type="dxa"/>
          </w:tcPr>
          <w:p w:rsidR="00216648" w:rsidRDefault="00216648" w:rsidP="00E30DD7">
            <w:pPr>
              <w:rPr>
                <w:b/>
              </w:rPr>
            </w:pPr>
          </w:p>
        </w:tc>
      </w:tr>
      <w:tr w:rsidR="00216648" w:rsidTr="00892295">
        <w:tc>
          <w:tcPr>
            <w:tcW w:w="8927" w:type="dxa"/>
          </w:tcPr>
          <w:p w:rsidR="00216648" w:rsidRPr="0025666E" w:rsidRDefault="0025666E" w:rsidP="00E13AD8">
            <w:r w:rsidRPr="00216648">
              <w:rPr>
                <w:b/>
                <w:color w:val="FF0000"/>
              </w:rPr>
              <w:t>Surgical grace</w:t>
            </w:r>
            <w:r>
              <w:rPr>
                <w:b/>
              </w:rPr>
              <w:t xml:space="preserve"> </w:t>
            </w:r>
            <w:r w:rsidRPr="00DE61D8">
              <w:t>is the act of conducting yourself professionally while in the operating room.</w:t>
            </w:r>
            <w:r>
              <w:t xml:space="preserve">  This includes keeping conversation to a minimum</w:t>
            </w:r>
            <w:r w:rsidR="00E13AD8">
              <w:t>,</w:t>
            </w:r>
            <w:r>
              <w:t xml:space="preserve"> limiting traffic in and out of all doors</w:t>
            </w:r>
            <w:r w:rsidR="00E13AD8">
              <w:t>, and respecting patient privacy and dignity</w:t>
            </w:r>
            <w:r>
              <w:t>.</w:t>
            </w:r>
            <w:r w:rsidRPr="00DE61D8">
              <w:t xml:space="preserve">  </w:t>
            </w:r>
          </w:p>
        </w:tc>
        <w:tc>
          <w:tcPr>
            <w:tcW w:w="1513" w:type="dxa"/>
          </w:tcPr>
          <w:p w:rsidR="00216648" w:rsidRDefault="00216648" w:rsidP="00E30DD7">
            <w:pPr>
              <w:rPr>
                <w:b/>
              </w:rPr>
            </w:pPr>
          </w:p>
        </w:tc>
      </w:tr>
      <w:tr w:rsidR="0025666E" w:rsidTr="00892295">
        <w:tc>
          <w:tcPr>
            <w:tcW w:w="10440" w:type="dxa"/>
            <w:gridSpan w:val="2"/>
            <w:shd w:val="clear" w:color="auto" w:fill="C6D9F1" w:themeFill="text2" w:themeFillTint="33"/>
          </w:tcPr>
          <w:p w:rsidR="0025666E" w:rsidRDefault="0025666E" w:rsidP="00E30DD7">
            <w:pPr>
              <w:rPr>
                <w:b/>
              </w:rPr>
            </w:pPr>
            <w:r>
              <w:rPr>
                <w:b/>
              </w:rPr>
              <w:t>Dress Code:</w:t>
            </w:r>
          </w:p>
        </w:tc>
      </w:tr>
      <w:tr w:rsidR="00216648" w:rsidTr="00892295">
        <w:tc>
          <w:tcPr>
            <w:tcW w:w="8927" w:type="dxa"/>
          </w:tcPr>
          <w:p w:rsidR="00DB0938" w:rsidRDefault="0025666E" w:rsidP="00F3037B">
            <w:pPr>
              <w:pStyle w:val="ListParagraph"/>
              <w:numPr>
                <w:ilvl w:val="0"/>
                <w:numId w:val="1"/>
              </w:numPr>
            </w:pPr>
            <w:r w:rsidRPr="0025666E">
              <w:t>Medical Center issued and approved surgical attire is required (i.e., pants, shirt, and long-sleeved warm-up jacket)</w:t>
            </w:r>
            <w:r w:rsidR="00DB0938">
              <w:t xml:space="preserve"> prior to entering semi-restricted and restricted areas</w:t>
            </w:r>
            <w:r w:rsidRPr="0025666E">
              <w:t>.</w:t>
            </w:r>
            <w:r w:rsidR="00DB0938">
              <w:t xml:space="preserve">  Long-sleeved warm-up jackets should be snapped closed with the cuffs down to the wrists.</w:t>
            </w:r>
          </w:p>
          <w:p w:rsidR="00892295" w:rsidRDefault="00892295" w:rsidP="00892295"/>
          <w:p w:rsidR="00892295" w:rsidRDefault="00892295" w:rsidP="00892295">
            <w:pPr>
              <w:ind w:left="720"/>
            </w:pPr>
            <w:r>
              <w:t>Other garments may not be worn underneath surgical attire unless they can be completely contained or covered.  Long sleeve undergarments of any type are not permitted.</w:t>
            </w:r>
          </w:p>
          <w:p w:rsidR="00DB0938" w:rsidRDefault="00DB0938" w:rsidP="00DB0938">
            <w:pPr>
              <w:pStyle w:val="ListParagraph"/>
            </w:pPr>
          </w:p>
          <w:p w:rsidR="00216648" w:rsidRPr="0025666E" w:rsidRDefault="00850455" w:rsidP="00DB0938">
            <w:pPr>
              <w:pStyle w:val="ListParagraph"/>
            </w:pPr>
            <w:r w:rsidRPr="00850455">
              <w:rPr>
                <w:b/>
              </w:rPr>
              <w:t>Note:</w:t>
            </w:r>
            <w:r>
              <w:t xml:space="preserve">  </w:t>
            </w:r>
            <w:r w:rsidR="0025666E" w:rsidRPr="0025666E">
              <w:t xml:space="preserve">This attire must be donned after entering the facility and exchanged for street clothes prior to leaving.  </w:t>
            </w:r>
            <w:r w:rsidR="00F3037B">
              <w:t>When donning scrub attire, contact between the clean attire and the floor or other potentially contaminated surfaces should be avoided.</w:t>
            </w:r>
            <w:r w:rsidR="0025666E" w:rsidRPr="0025666E">
              <w:t xml:space="preserve">  </w:t>
            </w:r>
          </w:p>
        </w:tc>
        <w:tc>
          <w:tcPr>
            <w:tcW w:w="1513" w:type="dxa"/>
          </w:tcPr>
          <w:p w:rsidR="00216648" w:rsidRDefault="00216648" w:rsidP="00E30DD7">
            <w:pPr>
              <w:rPr>
                <w:b/>
              </w:rPr>
            </w:pPr>
          </w:p>
        </w:tc>
      </w:tr>
      <w:tr w:rsidR="0025666E" w:rsidTr="00892295">
        <w:tc>
          <w:tcPr>
            <w:tcW w:w="8927" w:type="dxa"/>
          </w:tcPr>
          <w:p w:rsidR="0025666E" w:rsidRPr="0025666E" w:rsidRDefault="0025666E" w:rsidP="0025666E">
            <w:pPr>
              <w:pStyle w:val="ListParagraph"/>
              <w:numPr>
                <w:ilvl w:val="0"/>
                <w:numId w:val="1"/>
              </w:numPr>
            </w:pPr>
            <w:r>
              <w:t>A single-use head cover must be worn to completely cover all head and f</w:t>
            </w:r>
            <w:r w:rsidR="00F3037B">
              <w:t>acial hair (including side-burns and the nape of the neck</w:t>
            </w:r>
            <w:r>
              <w:t>).</w:t>
            </w:r>
            <w:r w:rsidR="00F3037B">
              <w:t xml:space="preserve">  Additional disposable coverings are available for facial hair including beards.  Head coverings should only be removed at the end of the day or in the case of contamination.</w:t>
            </w:r>
          </w:p>
        </w:tc>
        <w:tc>
          <w:tcPr>
            <w:tcW w:w="1513" w:type="dxa"/>
          </w:tcPr>
          <w:p w:rsidR="0025666E" w:rsidRDefault="0025666E" w:rsidP="00E30DD7">
            <w:pPr>
              <w:rPr>
                <w:b/>
              </w:rPr>
            </w:pPr>
          </w:p>
        </w:tc>
      </w:tr>
      <w:tr w:rsidR="0030210E" w:rsidTr="00892295">
        <w:tc>
          <w:tcPr>
            <w:tcW w:w="8927" w:type="dxa"/>
          </w:tcPr>
          <w:p w:rsidR="0030210E" w:rsidRDefault="0030210E" w:rsidP="0025666E">
            <w:pPr>
              <w:pStyle w:val="ListParagraph"/>
              <w:numPr>
                <w:ilvl w:val="0"/>
                <w:numId w:val="1"/>
              </w:numPr>
            </w:pPr>
            <w:r>
              <w:t>Shoes should be clean with no visible soiling and must provide protection from injury.  This includes closed toes and backs, low heels, and non-skid soles.  Shoes should be free of holes or perforations that may not protect from exposure to blood, body fluids, or other liquids.  Shoe covers must be worn and should be changed between each procedure.</w:t>
            </w:r>
          </w:p>
        </w:tc>
        <w:tc>
          <w:tcPr>
            <w:tcW w:w="1513" w:type="dxa"/>
          </w:tcPr>
          <w:p w:rsidR="0030210E" w:rsidRDefault="0030210E" w:rsidP="00E30DD7">
            <w:pPr>
              <w:rPr>
                <w:b/>
              </w:rPr>
            </w:pPr>
          </w:p>
        </w:tc>
      </w:tr>
      <w:tr w:rsidR="0030210E" w:rsidTr="00892295">
        <w:tc>
          <w:tcPr>
            <w:tcW w:w="8927" w:type="dxa"/>
          </w:tcPr>
          <w:p w:rsidR="0030210E" w:rsidRDefault="0030210E" w:rsidP="0030210E">
            <w:pPr>
              <w:pStyle w:val="ListParagraph"/>
              <w:numPr>
                <w:ilvl w:val="0"/>
                <w:numId w:val="1"/>
              </w:numPr>
            </w:pPr>
            <w:r>
              <w:t>All jewelry (i.e., earrings, watches, piercings, bracelets, necklaces) is to be removed or confined within the surgical attire.  Rings should be kept to a minimum.</w:t>
            </w:r>
          </w:p>
        </w:tc>
        <w:tc>
          <w:tcPr>
            <w:tcW w:w="1513" w:type="dxa"/>
          </w:tcPr>
          <w:p w:rsidR="0030210E" w:rsidRDefault="0030210E" w:rsidP="00E30DD7">
            <w:pPr>
              <w:rPr>
                <w:b/>
              </w:rPr>
            </w:pPr>
          </w:p>
        </w:tc>
      </w:tr>
      <w:tr w:rsidR="00A9522C" w:rsidTr="00892295">
        <w:tc>
          <w:tcPr>
            <w:tcW w:w="8927" w:type="dxa"/>
          </w:tcPr>
          <w:p w:rsidR="00A9522C" w:rsidRDefault="00A9522C" w:rsidP="0025666E">
            <w:pPr>
              <w:pStyle w:val="ListParagraph"/>
              <w:numPr>
                <w:ilvl w:val="0"/>
                <w:numId w:val="1"/>
              </w:numPr>
            </w:pPr>
            <w:r>
              <w:t>Fingernails are to be short, clean, and healthy.  Nail polish must be freshly applied and free from chipping.  Artificial nails (including gel polish and its hybrids) are not permitted.</w:t>
            </w:r>
          </w:p>
        </w:tc>
        <w:tc>
          <w:tcPr>
            <w:tcW w:w="1513" w:type="dxa"/>
          </w:tcPr>
          <w:p w:rsidR="00A9522C" w:rsidRDefault="00A9522C" w:rsidP="00E30DD7">
            <w:pPr>
              <w:rPr>
                <w:b/>
              </w:rPr>
            </w:pPr>
          </w:p>
        </w:tc>
      </w:tr>
      <w:tr w:rsidR="00216648" w:rsidTr="00892295">
        <w:tc>
          <w:tcPr>
            <w:tcW w:w="8927" w:type="dxa"/>
          </w:tcPr>
          <w:p w:rsidR="00216648" w:rsidRPr="0025666E" w:rsidRDefault="007A0DEF" w:rsidP="0025666E">
            <w:pPr>
              <w:pStyle w:val="ListParagraph"/>
              <w:numPr>
                <w:ilvl w:val="0"/>
                <w:numId w:val="1"/>
              </w:numPr>
            </w:pPr>
            <w:r>
              <w:t>Surgical masks are to be worn whenever open sterile items or equipment are present.  Masks must cover both the nose and the mouth and should be secured in a manner that prevents venting.  A new surgical mask must be worn for each procedure.  Masks should not be saved by hanging them around the neck or tucking them into a pocket for future use.  Masks should be removed and discarded upon leaving the procedure area.</w:t>
            </w:r>
          </w:p>
        </w:tc>
        <w:tc>
          <w:tcPr>
            <w:tcW w:w="1513" w:type="dxa"/>
          </w:tcPr>
          <w:p w:rsidR="00216648" w:rsidRDefault="00216648" w:rsidP="00E30DD7">
            <w:pPr>
              <w:rPr>
                <w:b/>
              </w:rPr>
            </w:pPr>
          </w:p>
        </w:tc>
      </w:tr>
      <w:tr w:rsidR="0025666E" w:rsidTr="00892295">
        <w:tc>
          <w:tcPr>
            <w:tcW w:w="8927" w:type="dxa"/>
          </w:tcPr>
          <w:p w:rsidR="0025666E" w:rsidRPr="0025666E" w:rsidRDefault="0025666E" w:rsidP="0025666E">
            <w:pPr>
              <w:pStyle w:val="ListParagraph"/>
              <w:numPr>
                <w:ilvl w:val="0"/>
                <w:numId w:val="1"/>
              </w:numPr>
            </w:pPr>
            <w:r>
              <w:t>Eye protection must be worn</w:t>
            </w:r>
            <w:r w:rsidR="007A0DEF">
              <w:t xml:space="preserve"> during all procedures</w:t>
            </w:r>
            <w:r>
              <w:t>.</w:t>
            </w:r>
          </w:p>
        </w:tc>
        <w:tc>
          <w:tcPr>
            <w:tcW w:w="1513" w:type="dxa"/>
          </w:tcPr>
          <w:p w:rsidR="0025666E" w:rsidRDefault="0025666E" w:rsidP="00E30DD7">
            <w:pPr>
              <w:rPr>
                <w:b/>
              </w:rPr>
            </w:pPr>
          </w:p>
        </w:tc>
      </w:tr>
      <w:tr w:rsidR="00737D84" w:rsidTr="00892295">
        <w:tc>
          <w:tcPr>
            <w:tcW w:w="10440" w:type="dxa"/>
            <w:gridSpan w:val="2"/>
            <w:shd w:val="clear" w:color="auto" w:fill="C6D9F1" w:themeFill="text2" w:themeFillTint="33"/>
          </w:tcPr>
          <w:p w:rsidR="00737D84" w:rsidRDefault="00737D84" w:rsidP="00E30DD7">
            <w:pPr>
              <w:rPr>
                <w:b/>
              </w:rPr>
            </w:pPr>
            <w:r>
              <w:rPr>
                <w:b/>
              </w:rPr>
              <w:t>Sterility:</w:t>
            </w:r>
          </w:p>
        </w:tc>
      </w:tr>
      <w:tr w:rsidR="0025666E" w:rsidTr="00892295">
        <w:tc>
          <w:tcPr>
            <w:tcW w:w="8927" w:type="dxa"/>
          </w:tcPr>
          <w:p w:rsidR="0025666E" w:rsidRPr="0025666E" w:rsidRDefault="00737D84" w:rsidP="00737D84">
            <w:r w:rsidRPr="00737D84">
              <w:rPr>
                <w:b/>
                <w:color w:val="FF0000"/>
              </w:rPr>
              <w:lastRenderedPageBreak/>
              <w:t xml:space="preserve">The general rule: If it’s blue, don’t touch it. </w:t>
            </w:r>
            <w:r>
              <w:t xml:space="preserve"> Everything that is blue is considered sterile.  If unscrubbed you must stay a minimum of 18” from the sterile field.  Do not reach over any sterile field for any reason.  If you have any questions about what is sterile, assume it is sterile until you can ask about it.  If you think that you may have contaminated something, please speak up.</w:t>
            </w:r>
          </w:p>
        </w:tc>
        <w:tc>
          <w:tcPr>
            <w:tcW w:w="1513" w:type="dxa"/>
          </w:tcPr>
          <w:p w:rsidR="0025666E" w:rsidRDefault="0025666E" w:rsidP="00E30DD7">
            <w:pPr>
              <w:rPr>
                <w:b/>
              </w:rPr>
            </w:pPr>
          </w:p>
        </w:tc>
      </w:tr>
      <w:tr w:rsidR="004B1939" w:rsidTr="00892295">
        <w:tc>
          <w:tcPr>
            <w:tcW w:w="10440" w:type="dxa"/>
            <w:gridSpan w:val="2"/>
            <w:shd w:val="clear" w:color="auto" w:fill="C6D9F1" w:themeFill="text2" w:themeFillTint="33"/>
          </w:tcPr>
          <w:p w:rsidR="004B1939" w:rsidRDefault="004B1939" w:rsidP="00E30DD7">
            <w:pPr>
              <w:rPr>
                <w:b/>
              </w:rPr>
            </w:pPr>
            <w:r>
              <w:rPr>
                <w:b/>
              </w:rPr>
              <w:t>Miscellaneous:</w:t>
            </w:r>
          </w:p>
        </w:tc>
      </w:tr>
      <w:tr w:rsidR="0025666E" w:rsidTr="00892295">
        <w:tc>
          <w:tcPr>
            <w:tcW w:w="8927" w:type="dxa"/>
          </w:tcPr>
          <w:p w:rsidR="0025666E" w:rsidRPr="0025666E" w:rsidRDefault="004B1939" w:rsidP="004B1939">
            <w:pPr>
              <w:pStyle w:val="ListParagraph"/>
              <w:numPr>
                <w:ilvl w:val="0"/>
                <w:numId w:val="8"/>
              </w:numPr>
            </w:pPr>
            <w:r>
              <w:t>Eat a full breakfast the morning of</w:t>
            </w:r>
            <w:r w:rsidR="00AF14F5">
              <w:t xml:space="preserve"> your observation experience</w:t>
            </w:r>
            <w:r w:rsidR="007A0DEF">
              <w:t>, including a good source of protein</w:t>
            </w:r>
            <w:r>
              <w:t xml:space="preserve"> (i.e., eggs, meat, and toast).</w:t>
            </w:r>
          </w:p>
        </w:tc>
        <w:tc>
          <w:tcPr>
            <w:tcW w:w="1513" w:type="dxa"/>
          </w:tcPr>
          <w:p w:rsidR="0025666E" w:rsidRDefault="0025666E" w:rsidP="00E30DD7">
            <w:pPr>
              <w:rPr>
                <w:b/>
              </w:rPr>
            </w:pPr>
          </w:p>
        </w:tc>
      </w:tr>
      <w:tr w:rsidR="00737D84" w:rsidTr="00892295">
        <w:tc>
          <w:tcPr>
            <w:tcW w:w="8927" w:type="dxa"/>
          </w:tcPr>
          <w:p w:rsidR="00737D84" w:rsidRPr="0025666E" w:rsidRDefault="004B1939" w:rsidP="004B1939">
            <w:pPr>
              <w:pStyle w:val="ListParagraph"/>
              <w:numPr>
                <w:ilvl w:val="0"/>
                <w:numId w:val="8"/>
              </w:numPr>
            </w:pPr>
            <w:r>
              <w:t>Wear your ID badge.  Always introduce yourself to the circulating nurse and provide her with your first and last name (including spelling).</w:t>
            </w:r>
          </w:p>
        </w:tc>
        <w:tc>
          <w:tcPr>
            <w:tcW w:w="1513" w:type="dxa"/>
          </w:tcPr>
          <w:p w:rsidR="00737D84" w:rsidRDefault="00737D84" w:rsidP="00E30DD7">
            <w:pPr>
              <w:rPr>
                <w:b/>
              </w:rPr>
            </w:pPr>
          </w:p>
        </w:tc>
      </w:tr>
      <w:tr w:rsidR="004B1939" w:rsidTr="00892295">
        <w:tc>
          <w:tcPr>
            <w:tcW w:w="8927" w:type="dxa"/>
          </w:tcPr>
          <w:p w:rsidR="004B1939" w:rsidRDefault="004B1939" w:rsidP="004B1939">
            <w:pPr>
              <w:pStyle w:val="ListParagraph"/>
              <w:numPr>
                <w:ilvl w:val="0"/>
                <w:numId w:val="8"/>
              </w:numPr>
            </w:pPr>
            <w:r>
              <w:t>Once you are in a procedure, you should stay there until its completion (i.e., the patient leaves the room).  If you feel that it is urgent that you leave the room, you must ask prior to leaving.  If you do leave, you may not be permitted to re-enter due to infection control.</w:t>
            </w:r>
          </w:p>
        </w:tc>
        <w:tc>
          <w:tcPr>
            <w:tcW w:w="1513" w:type="dxa"/>
          </w:tcPr>
          <w:p w:rsidR="004B1939" w:rsidRDefault="004B1939" w:rsidP="00E30DD7">
            <w:pPr>
              <w:rPr>
                <w:b/>
              </w:rPr>
            </w:pPr>
          </w:p>
        </w:tc>
      </w:tr>
      <w:tr w:rsidR="00737D84" w:rsidTr="00892295">
        <w:tc>
          <w:tcPr>
            <w:tcW w:w="8927" w:type="dxa"/>
          </w:tcPr>
          <w:p w:rsidR="00737D84" w:rsidRPr="0025666E" w:rsidRDefault="004B1939" w:rsidP="004B1939">
            <w:pPr>
              <w:pStyle w:val="ListParagraph"/>
              <w:numPr>
                <w:ilvl w:val="0"/>
                <w:numId w:val="8"/>
              </w:numPr>
            </w:pPr>
            <w:r>
              <w:t>Stand against the wall and out of the way until the circulator guides you to a good place to stand.</w:t>
            </w:r>
          </w:p>
        </w:tc>
        <w:tc>
          <w:tcPr>
            <w:tcW w:w="1513" w:type="dxa"/>
          </w:tcPr>
          <w:p w:rsidR="00737D84" w:rsidRDefault="00737D84" w:rsidP="00E30DD7">
            <w:pPr>
              <w:rPr>
                <w:b/>
              </w:rPr>
            </w:pPr>
          </w:p>
        </w:tc>
      </w:tr>
      <w:tr w:rsidR="00737D84" w:rsidTr="00892295">
        <w:tc>
          <w:tcPr>
            <w:tcW w:w="8927" w:type="dxa"/>
          </w:tcPr>
          <w:p w:rsidR="00737D84" w:rsidRPr="0025666E" w:rsidRDefault="004B1939" w:rsidP="004B1939">
            <w:pPr>
              <w:pStyle w:val="ListParagraph"/>
              <w:numPr>
                <w:ilvl w:val="0"/>
                <w:numId w:val="8"/>
              </w:numPr>
            </w:pPr>
            <w:r>
              <w:t>Do not lock your knees while observing.</w:t>
            </w:r>
          </w:p>
        </w:tc>
        <w:tc>
          <w:tcPr>
            <w:tcW w:w="1513" w:type="dxa"/>
          </w:tcPr>
          <w:p w:rsidR="00737D84" w:rsidRDefault="00737D84" w:rsidP="00E30DD7">
            <w:pPr>
              <w:rPr>
                <w:b/>
              </w:rPr>
            </w:pPr>
          </w:p>
        </w:tc>
      </w:tr>
      <w:tr w:rsidR="004B1939" w:rsidTr="00892295">
        <w:tc>
          <w:tcPr>
            <w:tcW w:w="8927" w:type="dxa"/>
          </w:tcPr>
          <w:p w:rsidR="004B1939" w:rsidRPr="0025666E" w:rsidRDefault="004B1939" w:rsidP="004B1939">
            <w:pPr>
              <w:pStyle w:val="ListParagraph"/>
              <w:numPr>
                <w:ilvl w:val="0"/>
                <w:numId w:val="8"/>
              </w:numPr>
            </w:pPr>
            <w:r>
              <w:t>If you feel weak, back against a wall and ease yourself to the floor.</w:t>
            </w:r>
          </w:p>
        </w:tc>
        <w:tc>
          <w:tcPr>
            <w:tcW w:w="1513" w:type="dxa"/>
          </w:tcPr>
          <w:p w:rsidR="004B1939" w:rsidRDefault="004B1939" w:rsidP="00E30DD7">
            <w:pPr>
              <w:rPr>
                <w:b/>
              </w:rPr>
            </w:pPr>
          </w:p>
        </w:tc>
      </w:tr>
      <w:tr w:rsidR="004B1939" w:rsidTr="00892295">
        <w:tc>
          <w:tcPr>
            <w:tcW w:w="8927" w:type="dxa"/>
          </w:tcPr>
          <w:p w:rsidR="004B1939" w:rsidRPr="0025666E" w:rsidRDefault="004B1939" w:rsidP="004B1939">
            <w:pPr>
              <w:pStyle w:val="ListParagraph"/>
              <w:numPr>
                <w:ilvl w:val="0"/>
                <w:numId w:val="8"/>
              </w:numPr>
            </w:pPr>
            <w:r>
              <w:t>Before asking the surgeon any case-related questions (before, during, or after the case), ask them if it is okay to do so.</w:t>
            </w:r>
          </w:p>
        </w:tc>
        <w:tc>
          <w:tcPr>
            <w:tcW w:w="1513" w:type="dxa"/>
          </w:tcPr>
          <w:p w:rsidR="004B1939" w:rsidRDefault="004B1939" w:rsidP="00E30DD7">
            <w:pPr>
              <w:rPr>
                <w:b/>
              </w:rPr>
            </w:pPr>
          </w:p>
        </w:tc>
      </w:tr>
    </w:tbl>
    <w:p w:rsidR="007A0DEF" w:rsidRDefault="007A0DEF" w:rsidP="004B1939">
      <w:pPr>
        <w:spacing w:after="0" w:line="240" w:lineRule="auto"/>
        <w:rPr>
          <w:b/>
        </w:rPr>
      </w:pPr>
    </w:p>
    <w:p w:rsidR="007A0DEF" w:rsidRPr="007A0DEF" w:rsidRDefault="007A0DEF" w:rsidP="004B1939">
      <w:pPr>
        <w:spacing w:after="0" w:line="240" w:lineRule="auto"/>
      </w:pPr>
      <w:r w:rsidRPr="007A0DEF">
        <w:t>If you have any questions, please contact:</w:t>
      </w:r>
    </w:p>
    <w:p w:rsidR="007A0DEF" w:rsidRPr="007A0DEF" w:rsidRDefault="00C25E8E" w:rsidP="004B1939">
      <w:pPr>
        <w:spacing w:after="0" w:line="240" w:lineRule="auto"/>
      </w:pPr>
      <w:r>
        <w:t xml:space="preserve">Lindsay Reiter BSN, RN – Student Coordinator </w:t>
      </w:r>
    </w:p>
    <w:p w:rsidR="007A0DEF" w:rsidRPr="007A0DEF" w:rsidRDefault="00C25E8E" w:rsidP="004B1939">
      <w:pPr>
        <w:spacing w:after="0" w:line="240" w:lineRule="auto"/>
      </w:pPr>
      <w:r>
        <w:t>l</w:t>
      </w:r>
      <w:bookmarkStart w:id="0" w:name="_GoBack"/>
      <w:bookmarkEnd w:id="0"/>
      <w:r>
        <w:t>indsay.reiter@mountnittany.org</w:t>
      </w:r>
    </w:p>
    <w:p w:rsidR="007A0DEF" w:rsidRDefault="007A0DEF" w:rsidP="004B1939">
      <w:pPr>
        <w:spacing w:after="0" w:line="240" w:lineRule="auto"/>
        <w:rPr>
          <w:b/>
        </w:rPr>
      </w:pPr>
    </w:p>
    <w:p w:rsidR="009F7AA9" w:rsidRDefault="003B1507" w:rsidP="004B1939">
      <w:pPr>
        <w:spacing w:after="0" w:line="240" w:lineRule="auto"/>
        <w:rPr>
          <w:b/>
        </w:rPr>
      </w:pPr>
      <w:r>
        <w:rPr>
          <w:b/>
        </w:rPr>
        <w:t xml:space="preserve">I have viewed the PowerPoint presentation and I understand the </w:t>
      </w:r>
      <w:r w:rsidR="00B7406F">
        <w:rPr>
          <w:b/>
        </w:rPr>
        <w:t xml:space="preserve">performance </w:t>
      </w:r>
      <w:r>
        <w:rPr>
          <w:b/>
        </w:rPr>
        <w:t>criteria and behavior that is expected of me during my observation in the Operating Room.</w:t>
      </w:r>
    </w:p>
    <w:p w:rsidR="002C3634" w:rsidRPr="003B1507" w:rsidRDefault="002C3634" w:rsidP="004B1939">
      <w:pPr>
        <w:spacing w:after="0" w:line="240" w:lineRule="auto"/>
        <w:rPr>
          <w:b/>
        </w:rPr>
      </w:pPr>
    </w:p>
    <w:p w:rsidR="003B1507" w:rsidRDefault="003B1507" w:rsidP="004B1939">
      <w:pPr>
        <w:spacing w:after="0" w:line="240" w:lineRule="auto"/>
        <w:rPr>
          <w:b/>
        </w:rPr>
      </w:pPr>
    </w:p>
    <w:p w:rsidR="009F7AA9" w:rsidRDefault="009F7AA9" w:rsidP="004B1939">
      <w:pPr>
        <w:spacing w:after="0" w:line="240" w:lineRule="auto"/>
        <w:rPr>
          <w:b/>
        </w:rPr>
      </w:pPr>
      <w:r>
        <w:rPr>
          <w:b/>
        </w:rPr>
        <w:t xml:space="preserve">Student Signature: </w:t>
      </w:r>
      <w:r w:rsidR="001A6FFA">
        <w:t>______</w:t>
      </w:r>
      <w:r>
        <w:t xml:space="preserve">_____________________________________ </w:t>
      </w:r>
      <w:r>
        <w:rPr>
          <w:b/>
        </w:rPr>
        <w:t xml:space="preserve">Date: </w:t>
      </w:r>
      <w:r>
        <w:t>____________________________</w:t>
      </w:r>
    </w:p>
    <w:sectPr w:rsidR="009F7AA9" w:rsidSect="00E31E1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D11"/>
    <w:multiLevelType w:val="hybridMultilevel"/>
    <w:tmpl w:val="CBCA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3E6A"/>
    <w:multiLevelType w:val="hybridMultilevel"/>
    <w:tmpl w:val="CBCA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10E44"/>
    <w:multiLevelType w:val="hybridMultilevel"/>
    <w:tmpl w:val="FB8A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14CEB"/>
    <w:multiLevelType w:val="hybridMultilevel"/>
    <w:tmpl w:val="0938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0757D"/>
    <w:multiLevelType w:val="hybridMultilevel"/>
    <w:tmpl w:val="EF08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52B25"/>
    <w:multiLevelType w:val="hybridMultilevel"/>
    <w:tmpl w:val="434A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C3B75"/>
    <w:multiLevelType w:val="hybridMultilevel"/>
    <w:tmpl w:val="0542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10875"/>
    <w:multiLevelType w:val="hybridMultilevel"/>
    <w:tmpl w:val="CBCA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22"/>
    <w:rsid w:val="00033EE4"/>
    <w:rsid w:val="00097322"/>
    <w:rsid w:val="001A6FFA"/>
    <w:rsid w:val="00216648"/>
    <w:rsid w:val="00253908"/>
    <w:rsid w:val="0025666E"/>
    <w:rsid w:val="002B4BAD"/>
    <w:rsid w:val="002C3634"/>
    <w:rsid w:val="0030157F"/>
    <w:rsid w:val="0030210E"/>
    <w:rsid w:val="0033145F"/>
    <w:rsid w:val="003B1507"/>
    <w:rsid w:val="003D3A26"/>
    <w:rsid w:val="00445B7F"/>
    <w:rsid w:val="00457043"/>
    <w:rsid w:val="0048149B"/>
    <w:rsid w:val="004B1939"/>
    <w:rsid w:val="005636B2"/>
    <w:rsid w:val="005802B2"/>
    <w:rsid w:val="005D6AF8"/>
    <w:rsid w:val="00665D6A"/>
    <w:rsid w:val="00722020"/>
    <w:rsid w:val="00737D84"/>
    <w:rsid w:val="0074233F"/>
    <w:rsid w:val="00780622"/>
    <w:rsid w:val="007A0DEF"/>
    <w:rsid w:val="00850455"/>
    <w:rsid w:val="00892295"/>
    <w:rsid w:val="009F7AA9"/>
    <w:rsid w:val="00A124CD"/>
    <w:rsid w:val="00A863FF"/>
    <w:rsid w:val="00A9522C"/>
    <w:rsid w:val="00A97B8C"/>
    <w:rsid w:val="00AF14F5"/>
    <w:rsid w:val="00B7406F"/>
    <w:rsid w:val="00BC66D9"/>
    <w:rsid w:val="00C25E8E"/>
    <w:rsid w:val="00C50BA4"/>
    <w:rsid w:val="00DA6A1C"/>
    <w:rsid w:val="00DB0938"/>
    <w:rsid w:val="00DE61D8"/>
    <w:rsid w:val="00E13AD8"/>
    <w:rsid w:val="00E30DD7"/>
    <w:rsid w:val="00E31E19"/>
    <w:rsid w:val="00F3037B"/>
    <w:rsid w:val="00F7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FA02"/>
  <w15:docId w15:val="{AB243BD2-5E5F-4DEC-8D1F-CEC054D4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26"/>
    <w:pPr>
      <w:ind w:left="720"/>
      <w:contextualSpacing/>
    </w:pPr>
  </w:style>
  <w:style w:type="table" w:styleId="TableGrid">
    <w:name w:val="Table Grid"/>
    <w:basedOn w:val="TableNormal"/>
    <w:uiPriority w:val="59"/>
    <w:rsid w:val="0021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MNH</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 Brown</dc:creator>
  <cp:lastModifiedBy>Reiter, Lindsay</cp:lastModifiedBy>
  <cp:revision>2</cp:revision>
  <cp:lastPrinted>2016-10-31T17:47:00Z</cp:lastPrinted>
  <dcterms:created xsi:type="dcterms:W3CDTF">2023-05-15T15:25:00Z</dcterms:created>
  <dcterms:modified xsi:type="dcterms:W3CDTF">2023-05-15T15:25:00Z</dcterms:modified>
</cp:coreProperties>
</file>